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Ультразвуковая диагностика</w:t>
      </w:r>
    </w:p>
    <w:tbl>
      <w:tblPr>
        <w:tblW w:w="8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920"/>
      </w:tblGrid>
      <w:tr w:rsidR="00D561D0" w:rsidRPr="00D561D0" w:rsidTr="00D561D0">
        <w:trPr>
          <w:trHeight w:val="145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Pr="00D56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(одной услуги)</w:t>
            </w:r>
            <w:r w:rsidRPr="00D56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руб.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допплерография артерий верхних конечностей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допплерография артерий нижних конечностей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допплерография сосудов (артерий и вен) верхних конечностей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допплерография сосудов (артерий и вен) нижних конечностей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допплерография вен нижних конечностей  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допплерография вен верхних конечностей  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сканирование аорты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сканирование сосудов (артерий и вен) верхних конечностей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сканирование артерий нижних конечностей   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сканирование артерий верхних конечностей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Дуплексное сканирование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артерий с цветным допплеровским картированием кровотока         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Дуплексное сканирование сосудов (артерий и вен) нижних конечностей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Триплексное сканирование вен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сустава (одного)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селезенки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плевральной полости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печени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желчного пузыря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поджелудочной железы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трансвагинальное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простаты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надпочечников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почек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мочевого пузыря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мошонки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ультразвуковое исследование органов брюшной полости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печеь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желчный пузырь, поджелудочная железа, селезенка)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головного мозга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720 </w:t>
            </w:r>
          </w:p>
        </w:tc>
      </w:tr>
    </w:tbl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lastRenderedPageBreak/>
        <w:t xml:space="preserve">Терапия </w:t>
      </w:r>
      <w:proofErr w:type="spellStart"/>
      <w:r>
        <w:rPr>
          <w:rFonts w:ascii="Helvetica" w:hAnsi="Helvetica" w:cs="Helvetica"/>
          <w:b w:val="0"/>
          <w:bCs w:val="0"/>
          <w:color w:val="5A5A5A"/>
        </w:rPr>
        <w:t>ботулотоксином</w:t>
      </w:r>
      <w:proofErr w:type="spellEnd"/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900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неврологических заболеваний с применением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отделении дневного стационара (лечение с применением 1 флакона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Ксеомин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")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18 700 </w:t>
            </w:r>
          </w:p>
        </w:tc>
      </w:tr>
      <w:tr w:rsidR="00D561D0" w:rsidRPr="00D561D0" w:rsidTr="00D561D0">
        <w:trPr>
          <w:trHeight w:val="90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неврологических заболеваний с применением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отделении дневного стационара (лечение с применением 1 флакона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Ксеомин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" и электромиографией)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22 700 </w:t>
            </w:r>
          </w:p>
        </w:tc>
      </w:tr>
      <w:tr w:rsidR="00D561D0" w:rsidRPr="00D561D0" w:rsidTr="00D561D0">
        <w:trPr>
          <w:trHeight w:val="90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неврологических заболеваний с применением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отделении дневного стационара  (лечение с применением 2-ух флаконов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Ксеомин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" и электромиографией)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35 000 </w:t>
            </w:r>
          </w:p>
        </w:tc>
      </w:tr>
      <w:tr w:rsidR="00D561D0" w:rsidRPr="00D561D0" w:rsidTr="00D561D0">
        <w:trPr>
          <w:trHeight w:val="90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неврологических заболеваний с применением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отделении дневного стационара (лечение с применением 1 флакона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Ботокс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")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23 200 </w:t>
            </w:r>
          </w:p>
        </w:tc>
      </w:tr>
      <w:tr w:rsidR="00D561D0" w:rsidRPr="00D561D0" w:rsidTr="00D561D0">
        <w:trPr>
          <w:trHeight w:val="90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неврологических заболеваний с применением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отделении дневного стационара  (лечение с применением 1 флакона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Ботокс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" и электромиографией)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27 200 </w:t>
            </w:r>
          </w:p>
        </w:tc>
      </w:tr>
      <w:tr w:rsidR="00D561D0" w:rsidRPr="00D561D0" w:rsidTr="00D561D0">
        <w:trPr>
          <w:trHeight w:val="90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неврологических заболеваний с применением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в отделении дневного стационара  (лечение с применением 2-ух флаконов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ботулотоксина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Ботокс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" и электромиографией)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43 800 </w:t>
            </w:r>
          </w:p>
        </w:tc>
      </w:tr>
    </w:tbl>
    <w:p w:rsidR="007F1F7C" w:rsidRDefault="007F1F7C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Услуги процедурного кабинета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920"/>
      </w:tblGrid>
      <w:tr w:rsidR="00D561D0" w:rsidRPr="00D561D0" w:rsidTr="00D561D0">
        <w:trPr>
          <w:trHeight w:val="315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лекарственных препаратов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Внутрикожное введение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Паравертебральные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Лимфотропная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из пальца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из периферической вены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лекарственных препаратов с помощью клизмы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очистительной клизмы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компресса на кожу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при парентеральном введении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Функциональная диагностика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электрокардиограммы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Холтеровское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артериального давления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Холтеровское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сердечного ритма (ХМ-ЭКГ)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интерпретация электрокардиографических данных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интерпретация данных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Холтерского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Реовазография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Реоэнцефалография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Эхоэнцефалография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неспровоцированных  дыхательных объемов и потоков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с физическими упражнениями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Рентгенологические исследования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всего черепа, в одной или более проекциях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шейного отдела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шейно-дорсального отдела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дорсального отдела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дорсолюмбального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поясничного отдела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  пояснично-крестцового отдела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крестца и копчика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ключицы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ребр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грудины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подвздошной кости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седалищной кости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лонного сочленения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  всего таза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плеча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лопатки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локтевой кости и лучевой кости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  кисти руки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пальцев руки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бедренной кости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большой берцовой и малой берцовой костей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лодыжки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пяточной кости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стопы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пальцев ноги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костей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лицевого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скилета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легких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височно-нижнечелюстного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локтевого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лучезапястного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коленного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плечевого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Рентгенография бедренного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голеностопного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нижней челюсти в боковой проекции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  придаточных пазух носа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  носоглотки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сердца в трех проекциях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  сердца с контрастированием пищевода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Рентгеноскопия пищевода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Рентгеноскопия желудка и двенадцатиперстной кишки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Ирригоскопия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Рентгеноконтроль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прохождения контраста по толстому кишечнику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височной кости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 снимок  брюшной полости и органов малого таза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  и интерпретация рентгенографических изображений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  и интерпретация рентгеноскопических  изображений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Эндоскопические исследования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Толстокишечная эндоскопия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Ректороманоскопия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пищевода с помощью эндоскопии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желудка с помощью эндоскопии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двенадцатиперстной кишки с помощью эндоскопии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ободочной кишки эндоскопическая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Биопсия сигмовидной ободочной кишки с помощью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видеоэндоскопических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Биопсия прямой кишки с помощью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видеоэндоскопических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Услуги офтальмологического кабинета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Офтальмоскопия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Визометрия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угла косоглазия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Скиаскопия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Тонометрия глаза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Зондирование слезных путей (и промывание)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Зондирование слезно-носового протока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Пара- и ретробульбарные инъекции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Субконьюктивальная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инъекция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лекарственных средств в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холязион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участков глаза, глазницы, новообразований, удаление инородных тел, паразитов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Авторефрактометрия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узким зрачком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ячменя, абсцесса века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конъюнктивы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роговицы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  век медицинский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глазного яблока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монокулярной и бинокулярной повязки (наклейки, занавески) на глазницу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очковой коррекции зрения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конъюнктивной полости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Услуги урологического кабинета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секрета простаты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уретрального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отделяемого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Инстилляция мочевого пузыря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Инстилляция уретры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Миоэлектростимуляция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эндоуретрально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заболеваниях мужских половых органов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Ректальное импульсное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электровоздействие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заболеваниях мужских 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электромагнитным излучением сантиметрового диапазон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СМВ-терапия)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электромагнитным излучением миллиметрового диапазон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КВЧ-терапия)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простаты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Вибромассаж простаты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Ректальный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заболеваниях мужских 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Ректальное воздействие ультразвуком при заболеваниях мужских 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мужских 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Услуги гинекологического кабинета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влагалищного мазка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цервикального мазка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Микроклизмирование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влагалища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Тампонирование лечебное влагалища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внутриматочной спирали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внутриматочной спирали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мазка с шейки матки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Введение, извлечение влагалищного поддерживающего кольца (пессария)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Услуги оториноларингологического кабинета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Пункция околоносовых пазух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Внутриносовые блокады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Интраназальная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адреналиновая аппликация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Заушные блокады лекарственными препаратами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лекарственных средств на слизистую глотки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Внутригортанные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вливания лекарственных веществ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лекарственных препаратов в наружный слуховой проход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аудиометрия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остановка кровотечения (передняя и задняя тампонада носа)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глотки или гортани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 носа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паратонзиллярного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абсцесса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лакун миндалин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лакун миндалин на аппарате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Тонзиллор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фурункула носа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 верхнечелюстной пазухи носа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Дренирование фурункула наружного уха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наружного уха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ушной серы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  инородного тела из слухового отверстия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Продувание слуховой трубы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хирургическая обработка раны уха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Шунтирование и дренирование барабанной полости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барабанной полости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Прижигание грануляций барабанной полости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Пневмомассаж барабанной перепонки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Тональная аудиометрия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Услуги хирургического кабинета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Внутрисуставное введение лекарственных препаратов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повязки при нарушении целостности кожных покровов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повязки при гнойных заболеваниях кожи и подкожной клетчатки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Наложение повязки при переломах костей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гипсовой повязки при переломах костей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повязки при вывихах (подвывихах) суставов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иммобилизационной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повязки при вывихах (подвывихах) суставов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повязки при полостных операциях органов брюшной полости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Сшивание кожи и подкожной клетчатки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поражения подкожно-жировой клетчатки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Ушивание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открытой раны (без кожной пересадки)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фурункула (карбункула)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и дренирование флегмоны (абсцесса)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вторичных швов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ногтевых пластинок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повязки при термических и химических ожогах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панариция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обработка раны или инфицированной ткани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поражения кожи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аспирация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Зондирование сустава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Физиотерапевтические услуги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кожи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токами ультравысокой частоты на кожу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костной патологии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патологии полости рта и зубов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заболеваниях верхних дыхательных путей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при заболеваниях верхних дыхательных путей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патологии легких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при заболеваниях крупных кровеносных сосудов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нарушениях микроциркуляции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заболеваниях печени и желчевыводящих путей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заболевании желудка и двенадцатиперстной кишки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  при заболеваниях кишечника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Переменное магнитное поле при заболеваниях женских половых органов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заболеваниях женских половых органов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заболеваниях мужских 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Наружное воздействие магнитным полем при заболеваниях мужских 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местная при заболеваниях  центральной нервной системы и головного мозга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местная при заболеваниях  периферической  нервной системы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Гальванотерапия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заболеваниях периферической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лекарственных препаратов при заболеваниях периферической нервной системы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Внутриушной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электрофорез лекарственных препаратов при заболеваниях органа слуха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органа слуха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(ДДТ)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синусоидальными модулированными токами (СМТ)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электрическим полем ультравысокой частоты (ЭП УВЧ)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электромагнитным излучением дециметрового диапазона (ДМВ)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переменным магнитным полем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ПеМП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диадинамическими токами (ДЦТ-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форез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парафином при заболеваниях костной системы (малая аппликация)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Воздействие  парафином при заболеваниях костной системы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 аппликация)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озокеритом  при заболеваниях костной системы (малая  аппликация)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озокеритом  при заболеваниях костной системы (большая  аппликация)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 парафином (озокеритом)  при заболеваниях нижних дыхательных путей и легочной ткани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 парафином (озокеритом)  при заболеваниях печени и желчевыводящих путей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 парафином (озокеритом)  при заболеваниях поджелудочной железы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 парафином (озокеритом)  при заболеваниях пищевода, желудка, двенадцатиперстной кишки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 парафином (озокеритом)  при заболеваниях женских 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 парафином (озокеритом)  при заболеваниях мужских  половых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   парафином (озокеритом)  при заболеваниях центральной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Парафинотерапия заболеваний периферической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Озокеритотерапия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периферической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лечение  кожи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ультразвуком при заболеваниях суставов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  облучение  ротоглотки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ультразвуком при заболеваниях верхних дыхательных путей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ультразвуком при заболеваниях пищевода, желудка, двенадцатиперстной кишки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ультразвуковое при заболеваниях периферической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слизистой носа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ультразвуковое при заболеваниях почек и мочевыделительного тракта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Водолечение, грязелечение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ароматические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лекарственные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местные (2-4-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камерные)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 Восходящий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 Циркулярный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 Шарко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воздушно-пузырьковые (жемчужные)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грязью при заболеваниях костной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грязью при заболеваниях нижних дыхательных путей и легочной ткани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грязью при заболеваниях печени и желчевыводящих путей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грязью при заболеваниях поджелудочной железы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грязью при заболеваниях пищевода, желудка, двенадцатиперстной кишки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заболеваний периферической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Массаж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массаж медицинский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лица медицинский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шеи медицинский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зоны (задней поверхности шеи, спины до уровня IV грудного позвонка, передней поверхности грудной клетки до II ребра)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рук медицинский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  верхней конечности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Массаж верхней конечности,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области лопатки                 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плечевого сустава (верхней трети плеча,      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области плечевого сустава и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одноименной стороны)                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локтевого сустава (верхней трети предплечья, 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области локтевого сустава и нижней трети плеча)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лучезапястного сустава (проксимального отдела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кисти, области лучезапястного сустава и предплечья)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кисти и предплечья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волосистой части головы медицинский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ног медицинский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конечности и поясницы (области стопы, голени, бедра, ягодичной и пояснично-крестцовой области)            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тазобедренного сустава и ягодичной области   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(одноименной стороны)   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коленного сустава (верхней трети голени,     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области коленного сустава и нижней трети бедра)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голеностопного сустава (проксимального отдела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стопы, области голеностопного сустава и нижней трети голени)                 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стопы и голени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переломе костей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заболеваниях позвоночника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Скелетное вытяжение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хронических неспецифических заболеваниях легких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заболеваниях периферических сосудов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при заболеваниях периферической нервной системы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спины (от VIII шейного до I поясничного позвонка и от левой до правой средней подмышечной линии)                                            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пояснично-крестцовой области (от I поясничного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позвонка до нижних ягодичных складок)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Сегментарный массаж пояснично-крестцовой области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спины и поясничной области (от VII шейного позвонка до основания крестца и от левой до правой  средней подмышечной линии)                          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</w:t>
            </w:r>
          </w:p>
        </w:tc>
      </w:tr>
      <w:tr w:rsidR="00D561D0" w:rsidRPr="00D561D0" w:rsidTr="00D561D0">
        <w:trPr>
          <w:trHeight w:val="94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шейно-грудного отдела позвоночника (задней   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поверхности шеи и спины до I поясничного позвонка от </w:t>
            </w: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левой до правой задней подмышечной линии)           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Сегментарный массаж шейно-грудного отдела позвоночника            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</w:t>
            </w:r>
          </w:p>
        </w:tc>
      </w:tr>
      <w:tr w:rsidR="00D561D0" w:rsidRPr="00D561D0" w:rsidTr="00D561D0">
        <w:trPr>
          <w:trHeight w:val="94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области позвоночника (задней поверхности шеи, спины и пояснично-крестцовой области от левой до правой задней подмышечной линии)        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живота медицинский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94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Массаж грудной клетки медицинский (области передней поверхности грудной клетки от передних границ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реберных дуг и области спины от VII до  I поясничного позвонка)                           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Лечебная физкультура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травме позвоночника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переломе костей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и травмах суставов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бронхолегочной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 дренирующие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сердца и перикарда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крупных кровеносных сосудов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заболевании периферических сосудов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печени, желчного пузыря и желчевыводящих путей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пищевода, желудка, двенадцатиперстной кишки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толстой кишки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лечебной физкультурой, направленные на уменьшение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спастики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центральной нервной системы и головного мозга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 периферической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при заболеваниях  почек и мочевыделительного тракта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укрепление мышц передней брюшной стенки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  укрепления  мышц диафрагмы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с использованием тренажера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комплекса упражнений (лечебной физкультуры)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Клинические лабораторные исследования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эритроцитов в крови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лейкоцитов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тромбоцитов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лейкоцитов в крови (подсчет формулы в крови)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Цитологическое исследование препарата тканей влагалища (мазок с шейки матки и цервикального канала)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уровня общего гемоглобина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уровня альф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липопротеинов ( высокой плотности )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концентрации C-реактивного белка в сыворотке крови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белка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альбумина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мочевины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мочевой кислоты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билирубина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свободного и связанного билирубина в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триглицеридов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липопротеинов низкой плотности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кальция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лактатдегидрогеназы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аспартат-трансаминазы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аланин-трансаминазы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креатинкиназы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гамма-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глютамилтрансферазы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амилазы в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щелочной фосфатазы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фибриногена в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общего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(Т3)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свободного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(T3) в сыворотке крови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свободного тироксина (T4) сыворотки крови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тироксина (T4) сыворотки крови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тиреотропина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сыворотки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тестостерона в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гликированного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гемоглобина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пролактина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альфа-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сыворотке крови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тимоловой и сулемовой проб в сыворотке крови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серомукоида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сыворотке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простатспецифического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кортизола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ракового эмбрионального антигена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антигена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аденогенных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раков СА 19-9  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антигена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аденогенных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раков СА 125  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нативного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окрашенного препарата мокроты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химических свойств мокроты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физических свойств мокроты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кала на скрытую кровь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влагалищных мазков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уретрального отделяемого и сока простаты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осадка секрета простаты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осадка мочи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моче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удельного веса (относительной плотности) мочи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скорости оседания эритроцитов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времени свертывания нестабилизированной крови или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рекальцификации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плазмы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неактивированное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времени кровотечения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тромбопластинового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времени в крови или в плазме 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Активированное частичное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тромбопластиновое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(АЧТВ)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реакции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Вассермана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(RW)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антител к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тироглобулину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сыворотке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антител к ткани щитовидной железы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ревматоидных факторов в крови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глюкозотолерантного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(клинический) анализ крови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(клинический) анализ крови развернутый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по оценке нарушений липидного обмена биохимический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общий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на содержание наркотических средств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Копрологическое  исследование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Прием (осмотр, консультация) врача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920"/>
      </w:tblGrid>
      <w:tr w:rsidR="00D561D0" w:rsidRPr="00D561D0" w:rsidTr="00D561D0">
        <w:trPr>
          <w:trHeight w:val="315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 ) врача - акушера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инеколога первичный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(осмотр, консультация ) врача - акушера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инеколога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врача-инфекциониста  первичный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врача-инфекциониста  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врача-кардиолога первичный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врача-кардиолога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лечебной физкультуре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 невролога первичный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 невролога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врача -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врача -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 офтальмолога первичный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 офтальмолога повторный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(консультация) врачом-рентгенологом терапевтический   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-терапевта первичный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-терапевта первичный на дому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-терапевта повторный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-терапевта повторный на дому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-уролога первичный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-уролога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(консультация) врача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изиотерапевта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-хирурга первичный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-хирурга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-эндокринолога первичный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-эндокринолога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-психиатра первичный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-психиатра  повторный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-психиатра -нарколога первичный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-психиатра -нарколога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врача-стоматолога-терапевта первичный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-стоматолога-терапевта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врача-онколога первичный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(осмотр, консультация) врача-онколога повторный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Предварительный и периодический медицинский осмотр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920"/>
      </w:tblGrid>
      <w:tr w:rsidR="00D561D0" w:rsidRPr="00D561D0" w:rsidTr="00D561D0">
        <w:trPr>
          <w:trHeight w:val="630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консультация) врача-акушера-гинеколога   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инфекциониста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врача-невролога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врача-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консультация) врача-офтальмолога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прием (осмотр, консультация) врача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ерапевта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-уролога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-хирурга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врача -эндокринолога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консультация) врача-психиатра     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консультация) врача психиатра-нарколога  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</w:p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proofErr w:type="spellStart"/>
      <w:r>
        <w:rPr>
          <w:rFonts w:ascii="Helvetica" w:hAnsi="Helvetica" w:cs="Helvetica"/>
          <w:b w:val="0"/>
          <w:bCs w:val="0"/>
          <w:color w:val="5A5A5A"/>
        </w:rPr>
        <w:lastRenderedPageBreak/>
        <w:t>Стацинарная</w:t>
      </w:r>
      <w:proofErr w:type="spellEnd"/>
      <w:r>
        <w:rPr>
          <w:rFonts w:ascii="Helvetica" w:hAnsi="Helvetica" w:cs="Helvetica"/>
          <w:b w:val="0"/>
          <w:bCs w:val="0"/>
          <w:color w:val="5A5A5A"/>
        </w:rPr>
        <w:t xml:space="preserve"> медицинская помощь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920"/>
      </w:tblGrid>
      <w:tr w:rsidR="00D561D0" w:rsidRPr="00D561D0" w:rsidTr="00D561D0">
        <w:trPr>
          <w:trHeight w:val="945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осмотр врачом-терапевтом с наблюдением и уходом среднего и младшего медицинского персонала в отделении стационара -  2-местная палата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D561D0" w:rsidRPr="00D561D0" w:rsidTr="00D561D0">
        <w:trPr>
          <w:trHeight w:val="94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осмотр врачом-терапевтом с наблюдением и уходом среднего и младшего медицинского персонала в отделении стационара -  1-местная палата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D561D0" w:rsidRPr="00D561D0" w:rsidTr="00D561D0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осмотр врачом-терапевтом с наблюдением и уходом среднего и младшего медицинского персонала в отделении дневного стационара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561D0" w:rsidRPr="00D561D0" w:rsidTr="00D561D0">
        <w:trPr>
          <w:trHeight w:val="94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осмотр врачом-неврологом с наблюдением и уходом среднего и младшего медицинского персонала в отделении стационара - 2-местная палата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D561D0" w:rsidRPr="00D561D0" w:rsidTr="00D561D0">
        <w:trPr>
          <w:trHeight w:val="94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осмотр врачом-неврологом с наблюдением и уходом среднего и младшего медицинского персонала в отделении стационара - 1-местная палата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D561D0" w:rsidRPr="00D561D0" w:rsidTr="00D561D0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осмотр врачом-неврологом с наблюдением и уходом среднего и младшего медицинского персонала в отделении дневного стационара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сестринского ухода за больным в стационаре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из пальца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при парентеральном введении лекарственных препаратов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из периферической вены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Термометрия общая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частоты дыхания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</w:tr>
      <w:tr w:rsidR="00D561D0" w:rsidRPr="00D561D0" w:rsidTr="00D561D0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диетического питания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Работы по экспертизе в здравоохранении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медицинское освидетельствование  шоферов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экспертизе профпригодности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экспертизе владения оружием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экспертного заключения (справок по запросам)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Работы по делопроизводству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написание заключений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подготовка выписок из документов (справок)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</w:t>
            </w:r>
          </w:p>
        </w:tc>
      </w:tr>
    </w:tbl>
    <w:p w:rsidR="00D561D0" w:rsidRDefault="00D561D0" w:rsidP="00D561D0"/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</w:p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lastRenderedPageBreak/>
        <w:t>Услуги медицинского сервиса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630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комфортности пребывания в медицинском учреждении (организации) в 2-местной палате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комфортности пребывания в медицинском учреждении (организации) в  1-местной палате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900 </w:t>
            </w:r>
          </w:p>
        </w:tc>
      </w:tr>
    </w:tbl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</w:p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Стоматологические услуги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прикуса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лекарственных препаратов в патологические зубодесневые  карманы (в области одного зуба)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Инъекционное введение лекарственных сре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ч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елюстно-лицевую область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Инъекционное введение анестетика в челюстно-лицевую область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Фторирование твердых тканей зубов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лечебного прокладочного материала  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Daycal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полость зуба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прокладочного материала светового отверждения в полость зуба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текучего композитного прокладочного материала светового отверждения  в полость зуба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мышьяковистой пасты  в полость зуба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  мумифицирующей прокладки  в полость зуба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анестетика  в челюстно-лицевую область методом аппликации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лечебной повязки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постоянной пломбы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временной пломбы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кариозной полости при среднем кариесе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кариозной полости при глубоком кариесе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кариозной полости при осложненном кариесе (пульпит, периодонтит)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кариозной полости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леченного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обработка кариозной полости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матричной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Ретракция десны с использованием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ретракционной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  временной пломбой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зуба сложное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зуба сложное с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ушиванием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химического отверждения 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химического отверждения 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химического отверждения 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химического отверждения 3/4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светового отверждения 1/4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светового отверждения 1/3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светового отверждения 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пломбой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омпозитом светового отверждения  3/4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Полировка пломбы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Пломбирование одного корневого канала зуба пастами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Пломбирование одного корневого канала зуба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пастами"Calasept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Metapasta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Metapex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Пломбирование одного корневого канала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гуттаперчивыми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штифтами методом латеральной конденсации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Пломбирование одного корневого канала материалом "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Пульпомиксин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в корневой канал лечебной турунды с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эндосольв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крезофен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ульпосептин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метрозоль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ларгаль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Экстирпация пульпы из 1 канала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подслизистого или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поднадкостничного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очага воспаления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Дренирование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одонтогенного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абсцесса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Отсроченный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 удаленного зуба с наложением антисептической повязки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Отсроченный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 удаленного зуба с наложением антисептической повязки  и применением шовного  материала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удаления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непрорезовавшегося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дистопированного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сверхкомплектного зуба  материала </w:t>
            </w:r>
            <w:proofErr w:type="spellStart"/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spellEnd"/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(ручная) и медикаментозная обработка одного корневого канала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(машинная) и медикаментозная обработка одного корневого канала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Инструментальная 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инородного тела, эндодонтического инструмента) и медикаментозная обработка  одного корневого канала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Инструментальная ( извлечение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внутрикорневого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иного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штифта</w:t>
            </w:r>
            <w:proofErr w:type="gram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кладки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медикаментозная обработка  одного корневого канала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  и медикаментозная обработка одного  корневого канала (ранее леченного)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</w:t>
            </w:r>
          </w:p>
        </w:tc>
      </w:tr>
      <w:tr w:rsidR="00D561D0" w:rsidRPr="00D561D0" w:rsidTr="00D561D0">
        <w:trPr>
          <w:trHeight w:val="94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пломбировочным материалом химического отверждения с использованием  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эндоканального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титанового штифта под коронку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1 500 </w:t>
            </w:r>
          </w:p>
        </w:tc>
      </w:tr>
      <w:tr w:rsidR="00D561D0" w:rsidRPr="00D561D0" w:rsidTr="00D561D0">
        <w:trPr>
          <w:trHeight w:val="94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композитом светового отверждения  на 1/2 объема коронки зуба с использованием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эндоканального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титанового штифта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эндоканального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титанового штифта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композитом светового  отверждения на 3/4 объема коронки зуба с использованием  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эндоканального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титанового штифта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зуба композитом светового отверждения   с использованием стекловолоконного   штифта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Востановление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3/4 зуба композитом светового отверждения   с использованием стекловолоконного   штифта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гигиена полости рта и зубов (один зуб)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Полировка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пастой "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Detartrin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(один зуб)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перикоронарита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(промывание, рассечение и/или  иссечение капюшона) с наложением  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атисептической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 при патологии полости рта и зубов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удаление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наддесневых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поддесневых</w:t>
            </w:r>
            <w:proofErr w:type="spellEnd"/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отложений с 1 зуба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</w:tr>
    </w:tbl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</w:p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Лазеротерапия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630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 при заболеваниях суставов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</w:tc>
      </w:tr>
      <w:tr w:rsidR="00D561D0" w:rsidRPr="00D561D0" w:rsidTr="00D561D0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Лазерная физиотерапия челюстно-лицевой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 верхних дыхательных путей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 нижних дыхательных путей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 крупных кровеносных сосудов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 позвоночника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  печени  и желчевыводящих путей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  желез внутренней секреции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  периферической нервной системы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  <w:tr w:rsidR="00D561D0" w:rsidRPr="00D561D0" w:rsidTr="00D561D0">
        <w:trPr>
          <w:trHeight w:val="63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низкоинтенсивным лазерным излучением  при заболеваниях  почек и мочевыделительного тракта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</w:tr>
    </w:tbl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</w:p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r>
        <w:rPr>
          <w:rFonts w:ascii="Helvetica" w:hAnsi="Helvetica" w:cs="Helvetica"/>
          <w:b w:val="0"/>
          <w:bCs w:val="0"/>
          <w:color w:val="5A5A5A"/>
        </w:rPr>
        <w:t>Поправочные коэффициенты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060"/>
      </w:tblGrid>
      <w:tr w:rsidR="00D561D0" w:rsidRPr="00D561D0" w:rsidTr="00D561D0">
        <w:trPr>
          <w:trHeight w:val="300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поправочного коэффициента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 </w:t>
            </w:r>
          </w:p>
        </w:tc>
      </w:tr>
      <w:tr w:rsidR="00D561D0" w:rsidRPr="00D561D0" w:rsidTr="00D561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Коэффициент условий выполнения услуги: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561D0" w:rsidRPr="00D561D0" w:rsidTr="00D561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 - на дому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2,0 </w:t>
            </w:r>
          </w:p>
        </w:tc>
      </w:tr>
      <w:tr w:rsidR="00D561D0" w:rsidRPr="00D561D0" w:rsidTr="00D561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Коэффициент  квалификации специалистов: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561D0" w:rsidRPr="00D561D0" w:rsidTr="00D561D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 - кандидат медицинских наук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61D0" w:rsidRPr="00D561D0" w:rsidRDefault="00D561D0" w:rsidP="00D5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D0">
              <w:rPr>
                <w:rFonts w:ascii="Times New Roman" w:eastAsia="Times New Roman" w:hAnsi="Times New Roman" w:cs="Times New Roman"/>
                <w:lang w:eastAsia="ru-RU"/>
              </w:rPr>
              <w:t>1,5 </w:t>
            </w:r>
          </w:p>
        </w:tc>
      </w:tr>
    </w:tbl>
    <w:p w:rsidR="00D561D0" w:rsidRDefault="00D561D0" w:rsidP="00D561D0">
      <w:pPr>
        <w:pStyle w:val="4"/>
        <w:shd w:val="clear" w:color="auto" w:fill="FFFFFF"/>
        <w:spacing w:before="0" w:beforeAutospacing="0"/>
        <w:rPr>
          <w:rFonts w:ascii="Helvetica" w:hAnsi="Helvetica" w:cs="Helvetica"/>
          <w:b w:val="0"/>
          <w:bCs w:val="0"/>
          <w:color w:val="5A5A5A"/>
        </w:rPr>
      </w:pPr>
      <w:bookmarkStart w:id="0" w:name="_GoBack"/>
      <w:bookmarkEnd w:id="0"/>
    </w:p>
    <w:p w:rsidR="00D561D0" w:rsidRPr="00D561D0" w:rsidRDefault="00D561D0" w:rsidP="00D561D0"/>
    <w:sectPr w:rsidR="00D561D0" w:rsidRPr="00D5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9A"/>
    <w:rsid w:val="0008089A"/>
    <w:rsid w:val="001567F9"/>
    <w:rsid w:val="007F1F7C"/>
    <w:rsid w:val="00D5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567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67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567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67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5260</Words>
  <Characters>29983</Characters>
  <Application>Microsoft Office Word</Application>
  <DocSecurity>0</DocSecurity>
  <Lines>249</Lines>
  <Paragraphs>70</Paragraphs>
  <ScaleCrop>false</ScaleCrop>
  <Company/>
  <LinksUpToDate>false</LinksUpToDate>
  <CharactersWithSpaces>35173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2018-04-28T06:47:00Z</dcterms:created>
  <dcterms:modified xsi:type="dcterms:W3CDTF">2018-04-28T06:53:00Z</dcterms:modified>
</cp:coreProperties>
</file>